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Grums kommunfullmäktige</w:t>
      </w:r>
    </w:p>
    <w:p>
      <w:pPr>
        <w:pStyle w:val="Heading1"/>
      </w:pPr>
      <w:r>
        <w:t xml:space="preserve">Energieffektivisering av skolor och idrottshallar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Grums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fastigheter har hög energianvändning enligt energideklarationer 2024. Besparingar frigör resurser till välfärd.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Grums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genomföra energikartläggning av samtliga skolor och idrottshallar under 2026.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investeringar i LED-belysning och bättre isolering prioriteras i budget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mål om 15 procents minskad energianvändning till 2030 antas.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 uppföljning redovisas i miljöredovisningen.</w:t>
      </w:r>
    </w:p>
    <w:p>
      <w:pPr>
        <w:spacing w:before="360"/>
      </w:pPr>
    </w:p>
    <w:p>
      <w:r>
        <w:t xml:space="preserve">Grums,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Grums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2026-07-14T00:00:53.201Z</dcterms:created>
  <dcterms:modified xsi:type="dcterms:W3CDTF">2026-07-14T00:00:53.201Z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